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7FDE0" w14:textId="20CC52FF" w:rsidR="07A6E753" w:rsidRDefault="07A6E753" w:rsidP="07A6E753">
      <w:pPr>
        <w:pStyle w:val="Date"/>
        <w:jc w:val="center"/>
      </w:pPr>
      <w:r>
        <w:rPr>
          <w:noProof/>
        </w:rPr>
        <w:drawing>
          <wp:inline distT="0" distB="0" distL="0" distR="0" wp14:anchorId="7DB8C9BB" wp14:editId="36EB7C87">
            <wp:extent cx="3867150" cy="866775"/>
            <wp:effectExtent l="0" t="0" r="0" b="0"/>
            <wp:docPr id="57668543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3867150" cy="866775"/>
                    </a:xfrm>
                    <a:prstGeom prst="rect">
                      <a:avLst/>
                    </a:prstGeom>
                  </pic:spPr>
                </pic:pic>
              </a:graphicData>
            </a:graphic>
          </wp:inline>
        </w:drawing>
      </w:r>
    </w:p>
    <w:p w14:paraId="32C56EB9" w14:textId="01D56010" w:rsidR="07A6E753" w:rsidRDefault="07A6E753" w:rsidP="07A6E753">
      <w:pPr>
        <w:spacing w:line="300" w:lineRule="auto"/>
        <w:rPr>
          <w:rFonts w:ascii="Tw Cen MT" w:hAnsi="Tw Cen MT"/>
          <w:b/>
          <w:bCs/>
          <w:sz w:val="24"/>
          <w:szCs w:val="24"/>
          <w:u w:val="single"/>
        </w:rPr>
      </w:pPr>
    </w:p>
    <w:p w14:paraId="57137913" w14:textId="79F3A75E" w:rsidR="005C7DBE" w:rsidRPr="009F6A7A" w:rsidRDefault="1D484358" w:rsidP="1D484358">
      <w:pPr>
        <w:tabs>
          <w:tab w:val="left" w:pos="4400"/>
        </w:tabs>
        <w:spacing w:line="300" w:lineRule="auto"/>
        <w:rPr>
          <w:rFonts w:ascii="Tw Cen MT" w:hAnsi="Tw Cen MT"/>
          <w:b/>
          <w:bCs/>
          <w:sz w:val="24"/>
          <w:szCs w:val="24"/>
          <w:u w:val="single"/>
        </w:rPr>
      </w:pPr>
      <w:r w:rsidRPr="1D484358">
        <w:rPr>
          <w:rFonts w:ascii="Tw Cen MT" w:hAnsi="Tw Cen MT"/>
          <w:b/>
          <w:bCs/>
          <w:sz w:val="24"/>
          <w:szCs w:val="24"/>
          <w:u w:val="single"/>
        </w:rPr>
        <w:t>FOR IMMEDIATE RELEASE</w:t>
      </w:r>
    </w:p>
    <w:p w14:paraId="784215E6" w14:textId="435A914C" w:rsidR="00F41718" w:rsidRDefault="2E130D2B" w:rsidP="2E130D2B">
      <w:pPr>
        <w:pStyle w:val="NormalWeb"/>
        <w:spacing w:before="0" w:beforeAutospacing="0" w:after="0" w:afterAutospacing="0"/>
        <w:ind w:left="2160"/>
        <w:rPr>
          <w:rFonts w:ascii="Tw Cen MT" w:hAnsi="Tw Cen MT"/>
        </w:rPr>
      </w:pPr>
      <w:r w:rsidRPr="2E130D2B">
        <w:rPr>
          <w:rFonts w:ascii="Tw Cen MT" w:hAnsi="Tw Cen MT"/>
        </w:rPr>
        <w:t xml:space="preserve">     </w:t>
      </w:r>
    </w:p>
    <w:p w14:paraId="42809920" w14:textId="54270645" w:rsidR="00F41718" w:rsidRDefault="2E130D2B" w:rsidP="2E130D2B">
      <w:pPr>
        <w:pStyle w:val="NormalWeb"/>
        <w:spacing w:before="0" w:beforeAutospacing="0" w:after="0" w:afterAutospacing="0"/>
        <w:ind w:left="2160"/>
        <w:rPr>
          <w:rFonts w:ascii="Tw Cen MT" w:hAnsi="Tw Cen MT"/>
        </w:rPr>
      </w:pPr>
      <w:r w:rsidRPr="2E130D2B">
        <w:rPr>
          <w:rFonts w:ascii="Tw Cen MT" w:hAnsi="Tw Cen MT"/>
        </w:rPr>
        <w:t xml:space="preserve">        For more information, please contact:</w:t>
      </w:r>
    </w:p>
    <w:p w14:paraId="0CB683E3" w14:textId="1D43B471" w:rsidR="00F41718" w:rsidRDefault="2E130D2B" w:rsidP="2E130D2B">
      <w:pPr>
        <w:pStyle w:val="NormalWeb"/>
        <w:spacing w:before="0" w:beforeAutospacing="0" w:after="0" w:afterAutospacing="0"/>
        <w:ind w:left="2160"/>
        <w:rPr>
          <w:rFonts w:ascii="Tw Cen MT" w:hAnsi="Tw Cen MT"/>
        </w:rPr>
      </w:pPr>
      <w:r w:rsidRPr="2E130D2B">
        <w:rPr>
          <w:rFonts w:ascii="Tw Cen MT" w:hAnsi="Tw Cen MT"/>
        </w:rPr>
        <w:t xml:space="preserve">        Lana Hartz, Director of Marketing and Development    </w:t>
      </w:r>
    </w:p>
    <w:p w14:paraId="0CA53BC1" w14:textId="026BE5D4" w:rsidR="00F41718" w:rsidRDefault="3C604F48" w:rsidP="3C604F48">
      <w:pPr>
        <w:pStyle w:val="NormalWeb"/>
        <w:spacing w:before="0" w:beforeAutospacing="0" w:after="0" w:afterAutospacing="0"/>
        <w:ind w:left="2160"/>
        <w:rPr>
          <w:rFonts w:ascii="Tw Cen MT" w:hAnsi="Tw Cen MT"/>
        </w:rPr>
      </w:pPr>
      <w:r w:rsidRPr="3C604F48">
        <w:rPr>
          <w:rFonts w:ascii="Tw Cen MT" w:hAnsi="Tw Cen MT"/>
        </w:rPr>
        <w:t xml:space="preserve">        (812) 547-0248</w:t>
      </w:r>
    </w:p>
    <w:p w14:paraId="2EB3B599" w14:textId="5897ED45" w:rsidR="005C7DBE" w:rsidRPr="009F6A7A" w:rsidRDefault="00F41718" w:rsidP="3C604F48">
      <w:pPr>
        <w:pStyle w:val="NormalWeb"/>
        <w:spacing w:before="0" w:beforeAutospacing="0" w:after="0" w:afterAutospacing="0"/>
        <w:ind w:left="2160"/>
        <w:rPr>
          <w:rFonts w:ascii="Tw Cen MT" w:hAnsi="Tw Cen MT"/>
        </w:rPr>
      </w:pPr>
      <w:r w:rsidRPr="19897F79">
        <w:rPr>
          <w:rFonts w:ascii="Tw Cen MT" w:hAnsi="Tw Cen MT"/>
        </w:rPr>
        <w:t xml:space="preserve">        Email: lana.hartz@pcmhospital.org                   </w:t>
      </w:r>
      <w:r w:rsidR="005C7DBE" w:rsidRPr="009F6A7A">
        <w:rPr>
          <w:rFonts w:ascii="Tw Cen MT" w:hAnsi="Tw Cen MT"/>
          <w:bCs/>
        </w:rPr>
        <w:tab/>
      </w:r>
      <w:r w:rsidR="005C7DBE" w:rsidRPr="009F6A7A">
        <w:rPr>
          <w:rFonts w:ascii="Tw Cen MT" w:hAnsi="Tw Cen MT"/>
          <w:bCs/>
        </w:rPr>
        <w:tab/>
      </w:r>
      <w:r w:rsidR="005C7DBE" w:rsidRPr="009F6A7A">
        <w:rPr>
          <w:rFonts w:ascii="Tw Cen MT" w:hAnsi="Tw Cen MT"/>
          <w:bCs/>
        </w:rPr>
        <w:tab/>
      </w:r>
      <w:r w:rsidR="005C7DBE" w:rsidRPr="009F6A7A">
        <w:rPr>
          <w:rFonts w:ascii="Tw Cen MT" w:hAnsi="Tw Cen MT"/>
          <w:bCs/>
        </w:rPr>
        <w:tab/>
      </w:r>
      <w:r w:rsidR="005C7DBE" w:rsidRPr="009F6A7A">
        <w:rPr>
          <w:rFonts w:ascii="Tw Cen MT" w:hAnsi="Tw Cen MT"/>
          <w:bCs/>
        </w:rPr>
        <w:br/>
      </w:r>
    </w:p>
    <w:p w14:paraId="5F70265C" w14:textId="2B57DC9A" w:rsidR="00A63A25" w:rsidRPr="00DE341B" w:rsidRDefault="00F71A23" w:rsidP="260ACD24">
      <w:pPr>
        <w:jc w:val="center"/>
        <w:rPr>
          <w:rFonts w:ascii="Tw Cen MT" w:hAnsi="Tw Cen MT"/>
          <w:b/>
          <w:bCs/>
          <w:sz w:val="28"/>
          <w:szCs w:val="28"/>
        </w:rPr>
      </w:pPr>
      <w:r w:rsidRPr="19897F79">
        <w:rPr>
          <w:rFonts w:ascii="Tw Cen MT" w:hAnsi="Tw Cen MT"/>
          <w:b/>
          <w:bCs/>
          <w:kern w:val="0"/>
          <w:sz w:val="28"/>
          <w:szCs w:val="28"/>
        </w:rPr>
        <w:t xml:space="preserve">Perry County Memorial Hospital </w:t>
      </w:r>
      <w:r w:rsidR="00F41718" w:rsidRPr="19897F79">
        <w:rPr>
          <w:rFonts w:ascii="Tw Cen MT" w:hAnsi="Tw Cen MT"/>
          <w:b/>
          <w:bCs/>
          <w:kern w:val="0"/>
          <w:sz w:val="28"/>
          <w:szCs w:val="28"/>
        </w:rPr>
        <w:t>Announces</w:t>
      </w:r>
      <w:r w:rsidRPr="19897F79">
        <w:rPr>
          <w:rFonts w:ascii="Tw Cen MT" w:hAnsi="Tw Cen MT"/>
          <w:b/>
          <w:bCs/>
          <w:kern w:val="0"/>
          <w:sz w:val="28"/>
          <w:szCs w:val="28"/>
        </w:rPr>
        <w:t xml:space="preserve"> Strategic Affiliation Agreement with St. Vincent Hospital</w:t>
      </w:r>
    </w:p>
    <w:p w14:paraId="453FA842" w14:textId="77777777" w:rsidR="00A63A25" w:rsidRDefault="00A63A25" w:rsidP="00A63A25">
      <w:pPr>
        <w:jc w:val="center"/>
        <w:rPr>
          <w:rFonts w:ascii="Tw Cen MT" w:hAnsi="Tw Cen MT"/>
          <w:i/>
          <w:kern w:val="0"/>
          <w:sz w:val="24"/>
          <w:szCs w:val="24"/>
        </w:rPr>
      </w:pPr>
      <w:r>
        <w:rPr>
          <w:rFonts w:ascii="Tw Cen MT" w:hAnsi="Tw Cen MT"/>
          <w:i/>
          <w:kern w:val="0"/>
          <w:sz w:val="24"/>
          <w:szCs w:val="24"/>
        </w:rPr>
        <w:t>-----------------------------------------------------------------------</w:t>
      </w:r>
    </w:p>
    <w:p w14:paraId="5A39BBE3" w14:textId="77777777" w:rsidR="00A63A25" w:rsidRDefault="00A63A25" w:rsidP="00A63A25">
      <w:pPr>
        <w:jc w:val="center"/>
        <w:rPr>
          <w:rFonts w:ascii="Tw Cen MT" w:hAnsi="Tw Cen MT"/>
          <w:i/>
          <w:kern w:val="0"/>
          <w:sz w:val="24"/>
          <w:szCs w:val="24"/>
        </w:rPr>
      </w:pPr>
    </w:p>
    <w:p w14:paraId="372490AD" w14:textId="386D084A" w:rsidR="00F41718" w:rsidRDefault="260ACD24" w:rsidP="260ACD24">
      <w:pPr>
        <w:spacing w:after="240" w:line="360" w:lineRule="auto"/>
        <w:jc w:val="left"/>
        <w:rPr>
          <w:rFonts w:ascii="Tw Cen MT" w:hAnsi="Tw Cen MT"/>
          <w:sz w:val="24"/>
          <w:szCs w:val="24"/>
          <w:lang w:val="en"/>
        </w:rPr>
      </w:pPr>
      <w:r w:rsidRPr="260ACD24">
        <w:rPr>
          <w:rFonts w:ascii="Tw Cen MT" w:hAnsi="Tw Cen MT"/>
          <w:b/>
          <w:bCs/>
          <w:sz w:val="24"/>
          <w:szCs w:val="24"/>
          <w:u w:val="single"/>
        </w:rPr>
        <w:t>Tell City, IN (January 15, 2019)</w:t>
      </w:r>
      <w:r w:rsidRPr="260ACD24">
        <w:rPr>
          <w:rFonts w:ascii="Tw Cen MT" w:hAnsi="Tw Cen MT"/>
          <w:b/>
          <w:bCs/>
          <w:sz w:val="24"/>
          <w:szCs w:val="24"/>
        </w:rPr>
        <w:t xml:space="preserve"> </w:t>
      </w:r>
      <w:r w:rsidRPr="260ACD24">
        <w:rPr>
          <w:rFonts w:ascii="Tw Cen MT" w:hAnsi="Tw Cen MT"/>
          <w:sz w:val="24"/>
          <w:szCs w:val="24"/>
        </w:rPr>
        <w:t>–Perry County Memorial Hospital (PCMH),</w:t>
      </w:r>
      <w:r w:rsidRPr="260ACD24">
        <w:rPr>
          <w:rFonts w:ascii="Tw Cen MT" w:hAnsi="Tw Cen MT"/>
          <w:sz w:val="24"/>
          <w:szCs w:val="24"/>
          <w:lang w:val="en"/>
        </w:rPr>
        <w:t xml:space="preserve"> today announced intent to enter </w:t>
      </w:r>
      <w:r w:rsidR="00187C05">
        <w:rPr>
          <w:rFonts w:ascii="Tw Cen MT" w:hAnsi="Tw Cen MT"/>
          <w:sz w:val="24"/>
          <w:szCs w:val="24"/>
          <w:lang w:val="en"/>
        </w:rPr>
        <w:t>into an</w:t>
      </w:r>
      <w:r w:rsidRPr="260ACD24">
        <w:rPr>
          <w:rFonts w:ascii="Tw Cen MT" w:hAnsi="Tw Cen MT"/>
          <w:sz w:val="24"/>
          <w:szCs w:val="24"/>
          <w:lang w:val="en"/>
        </w:rPr>
        <w:t xml:space="preserve"> agreement with St. Vincent Hospital.  The new Management Services Agreement (MSA) will replace the former contract with Alliant Management</w:t>
      </w:r>
      <w:r w:rsidR="00187C05">
        <w:rPr>
          <w:rFonts w:ascii="Tw Cen MT" w:hAnsi="Tw Cen MT"/>
          <w:sz w:val="24"/>
          <w:szCs w:val="24"/>
          <w:lang w:val="en"/>
        </w:rPr>
        <w:t xml:space="preserve"> Services</w:t>
      </w:r>
      <w:r w:rsidRPr="260ACD24">
        <w:rPr>
          <w:rFonts w:ascii="Tw Cen MT" w:hAnsi="Tw Cen MT"/>
          <w:sz w:val="24"/>
          <w:szCs w:val="24"/>
          <w:lang w:val="en"/>
        </w:rPr>
        <w:t xml:space="preserve">.  </w:t>
      </w:r>
    </w:p>
    <w:p w14:paraId="4C5C22EC" w14:textId="3FA465C9" w:rsidR="00F41718" w:rsidRDefault="260ACD24" w:rsidP="260ACD24">
      <w:pPr>
        <w:spacing w:after="240" w:line="360" w:lineRule="auto"/>
        <w:jc w:val="left"/>
        <w:rPr>
          <w:rFonts w:ascii="Tw Cen MT" w:hAnsi="Tw Cen MT"/>
          <w:sz w:val="24"/>
          <w:szCs w:val="24"/>
          <w:lang w:val="en"/>
        </w:rPr>
      </w:pPr>
      <w:r w:rsidRPr="260ACD24">
        <w:rPr>
          <w:rFonts w:ascii="Tw Cen MT" w:hAnsi="Tw Cen MT"/>
          <w:sz w:val="24"/>
          <w:szCs w:val="24"/>
          <w:lang w:val="en"/>
        </w:rPr>
        <w:t>Through the a</w:t>
      </w:r>
      <w:r w:rsidR="001E5F32">
        <w:rPr>
          <w:rFonts w:ascii="Tw Cen MT" w:hAnsi="Tw Cen MT"/>
          <w:sz w:val="24"/>
          <w:szCs w:val="24"/>
          <w:lang w:val="en"/>
        </w:rPr>
        <w:t>greement</w:t>
      </w:r>
      <w:r w:rsidRPr="260ACD24">
        <w:rPr>
          <w:rFonts w:ascii="Tw Cen MT" w:hAnsi="Tw Cen MT"/>
          <w:sz w:val="24"/>
          <w:szCs w:val="24"/>
          <w:lang w:val="en"/>
        </w:rPr>
        <w:t xml:space="preserve"> with St. Vincent, PCMH will be able to expand and improve services to support residents and communities of Perry, Spencer, Hancock KY, and Crawford Counties. The agreement will offer additional organizational support to PCMH medical staff, clinical services and operations to enhance the quality of patient care.</w:t>
      </w:r>
    </w:p>
    <w:p w14:paraId="4A309F04" w14:textId="3EEDEB08" w:rsidR="001A6139" w:rsidRPr="009F6A7A" w:rsidRDefault="260ACD24" w:rsidP="260ACD24">
      <w:pPr>
        <w:spacing w:after="240" w:line="360" w:lineRule="auto"/>
        <w:jc w:val="left"/>
        <w:rPr>
          <w:rFonts w:ascii="Tw Cen MT" w:hAnsi="Tw Cen MT"/>
          <w:sz w:val="24"/>
          <w:szCs w:val="24"/>
          <w:lang w:val="en"/>
        </w:rPr>
      </w:pPr>
      <w:r w:rsidRPr="260ACD24">
        <w:rPr>
          <w:rFonts w:ascii="Tw Cen MT" w:hAnsi="Tw Cen MT"/>
          <w:sz w:val="24"/>
          <w:szCs w:val="24"/>
          <w:lang w:val="en"/>
        </w:rPr>
        <w:t>The new MSA is not an asset merger and PCMH will continue to be managed by the local hospital board and all PCMH employees, services and facilities will continue to report to PCMH.  Both PCMH and St. Vincent will remain independent while working collaboratively with physicians, clinicians and other providers delivering care for Perry County and surrounding area</w:t>
      </w:r>
      <w:r w:rsidR="00187C05">
        <w:rPr>
          <w:rFonts w:ascii="Tw Cen MT" w:hAnsi="Tw Cen MT"/>
          <w:sz w:val="24"/>
          <w:szCs w:val="24"/>
          <w:lang w:val="en"/>
        </w:rPr>
        <w:t>s</w:t>
      </w:r>
      <w:r w:rsidRPr="260ACD24">
        <w:rPr>
          <w:rFonts w:ascii="Tw Cen MT" w:hAnsi="Tw Cen MT"/>
          <w:sz w:val="24"/>
          <w:szCs w:val="24"/>
          <w:lang w:val="en"/>
        </w:rPr>
        <w:t>.   The terms of the management agreement are not finalized and completion will take appr</w:t>
      </w:r>
      <w:r w:rsidR="00187C05">
        <w:rPr>
          <w:rFonts w:ascii="Tw Cen MT" w:hAnsi="Tw Cen MT"/>
          <w:sz w:val="24"/>
          <w:szCs w:val="24"/>
          <w:lang w:val="en"/>
        </w:rPr>
        <w:t>oximately 3 to 5 months at which time</w:t>
      </w:r>
      <w:r w:rsidRPr="260ACD24">
        <w:rPr>
          <w:rFonts w:ascii="Tw Cen MT" w:hAnsi="Tw Cen MT"/>
          <w:sz w:val="24"/>
          <w:szCs w:val="24"/>
          <w:lang w:val="en"/>
        </w:rPr>
        <w:t xml:space="preserve"> additional communication will be made.</w:t>
      </w:r>
    </w:p>
    <w:p w14:paraId="122161D6" w14:textId="29483A59" w:rsidR="001A6139" w:rsidRPr="009F6A7A" w:rsidRDefault="07A6E753" w:rsidP="3C604F48">
      <w:pPr>
        <w:spacing w:after="240" w:line="360" w:lineRule="auto"/>
        <w:jc w:val="left"/>
        <w:rPr>
          <w:rFonts w:ascii="Tw Cen MT" w:hAnsi="Tw Cen MT"/>
          <w:sz w:val="24"/>
          <w:szCs w:val="24"/>
          <w:lang w:val="en"/>
        </w:rPr>
      </w:pPr>
      <w:r w:rsidRPr="07A6E753">
        <w:rPr>
          <w:rFonts w:ascii="Tw Cen MT" w:hAnsi="Tw Cen MT"/>
          <w:sz w:val="24"/>
          <w:szCs w:val="24"/>
          <w:lang w:val="en"/>
        </w:rPr>
        <w:t xml:space="preserve">“We are so excited to embark on this partnership with such a trusted health care system that will strengthen our ability to expand and offer specialized services that may not currently be available in our area,”  said Brian Herwig, CEO of PCMH.  “St. Vincent has </w:t>
      </w:r>
      <w:r w:rsidRPr="07A6E753">
        <w:rPr>
          <w:rFonts w:ascii="Tw Cen MT" w:hAnsi="Tw Cen MT"/>
          <w:sz w:val="24"/>
          <w:szCs w:val="24"/>
          <w:lang w:val="en"/>
        </w:rPr>
        <w:lastRenderedPageBreak/>
        <w:t>played a crucial role in fostering relationships that have enabled us to expand service lines and this affiliation will ensure that we are serving our community with a full spectrum of care.”</w:t>
      </w:r>
    </w:p>
    <w:p w14:paraId="78F3653B" w14:textId="5C6D0AFE" w:rsidR="07A6E753" w:rsidRDefault="260ACD24" w:rsidP="260ACD24">
      <w:pPr>
        <w:spacing w:beforeAutospacing="1" w:after="240" w:afterAutospacing="1" w:line="360" w:lineRule="auto"/>
        <w:jc w:val="left"/>
        <w:rPr>
          <w:rFonts w:ascii="Tw Cen MT" w:eastAsia="Tw Cen MT" w:hAnsi="Tw Cen MT" w:cs="Tw Cen MT"/>
          <w:sz w:val="24"/>
          <w:szCs w:val="24"/>
          <w:lang w:val="en"/>
        </w:rPr>
      </w:pPr>
      <w:r w:rsidRPr="260ACD24">
        <w:rPr>
          <w:rFonts w:ascii="Tw Cen MT" w:hAnsi="Tw Cen MT"/>
          <w:sz w:val="24"/>
          <w:szCs w:val="24"/>
          <w:lang w:val="en"/>
        </w:rPr>
        <w:t xml:space="preserve">The </w:t>
      </w:r>
      <w:r w:rsidR="001E5F32">
        <w:rPr>
          <w:rFonts w:ascii="Tw Cen MT" w:hAnsi="Tw Cen MT"/>
          <w:sz w:val="24"/>
          <w:szCs w:val="24"/>
          <w:lang w:val="en"/>
        </w:rPr>
        <w:t>agreement</w:t>
      </w:r>
      <w:r w:rsidRPr="260ACD24">
        <w:rPr>
          <w:rFonts w:ascii="Tw Cen MT" w:hAnsi="Tw Cen MT"/>
          <w:sz w:val="24"/>
          <w:szCs w:val="24"/>
          <w:lang w:val="en"/>
        </w:rPr>
        <w:t xml:space="preserve"> will allow the access to clinical knowledge, training and education that will enhance the services offered locally.  “</w:t>
      </w:r>
      <w:r w:rsidRPr="260ACD24">
        <w:rPr>
          <w:rFonts w:ascii="Tw Cen MT" w:eastAsia="Tw Cen MT" w:hAnsi="Tw Cen MT" w:cs="Tw Cen MT"/>
          <w:sz w:val="24"/>
          <w:szCs w:val="24"/>
          <w:lang w:val="en"/>
        </w:rPr>
        <w:t>Having a clinical affiliation with a larger hospital brings the sharing of best practices to increase clinical and operational efficiencies and to improve patient safety and the overall patient experience,” stated Michele Howard, VP of Nursing Services.  “Our goal is to be the healthcare provider</w:t>
      </w:r>
      <w:r w:rsidR="00187C05">
        <w:rPr>
          <w:rFonts w:ascii="Tw Cen MT" w:eastAsia="Tw Cen MT" w:hAnsi="Tw Cen MT" w:cs="Tw Cen MT"/>
          <w:sz w:val="24"/>
          <w:szCs w:val="24"/>
          <w:lang w:val="en"/>
        </w:rPr>
        <w:t xml:space="preserve"> of choice</w:t>
      </w:r>
      <w:r w:rsidRPr="260ACD24">
        <w:rPr>
          <w:rFonts w:ascii="Tw Cen MT" w:eastAsia="Tw Cen MT" w:hAnsi="Tw Cen MT" w:cs="Tw Cen MT"/>
          <w:sz w:val="24"/>
          <w:szCs w:val="24"/>
          <w:lang w:val="en"/>
        </w:rPr>
        <w:t xml:space="preserve"> for our community and this partnership will help us to better serve.” </w:t>
      </w:r>
    </w:p>
    <w:p w14:paraId="55BF361D" w14:textId="2A4AF0FE" w:rsidR="07A6E753" w:rsidRDefault="260ACD24" w:rsidP="260ACD24">
      <w:pPr>
        <w:spacing w:before="40" w:line="360" w:lineRule="auto"/>
        <w:jc w:val="left"/>
        <w:rPr>
          <w:rFonts w:ascii="Tw Cen MT" w:hAnsi="Tw Cen MT"/>
          <w:sz w:val="24"/>
          <w:szCs w:val="24"/>
          <w:lang w:val="en"/>
        </w:rPr>
      </w:pPr>
      <w:r w:rsidRPr="260ACD24">
        <w:rPr>
          <w:rFonts w:ascii="Tw Cen MT" w:hAnsi="Tw Cen MT"/>
          <w:sz w:val="24"/>
          <w:szCs w:val="24"/>
          <w:lang w:val="en"/>
        </w:rPr>
        <w:t xml:space="preserve">Board Chair, JB Land, </w:t>
      </w:r>
      <w:r w:rsidR="001E5F32" w:rsidRPr="260ACD24">
        <w:rPr>
          <w:rFonts w:ascii="Tw Cen MT" w:hAnsi="Tw Cen MT"/>
          <w:sz w:val="24"/>
          <w:szCs w:val="24"/>
          <w:lang w:val="en"/>
        </w:rPr>
        <w:t>states,</w:t>
      </w:r>
      <w:r w:rsidRPr="260ACD24">
        <w:rPr>
          <w:rFonts w:ascii="Tw Cen MT" w:hAnsi="Tw Cen MT"/>
          <w:sz w:val="24"/>
          <w:szCs w:val="24"/>
          <w:lang w:val="en"/>
        </w:rPr>
        <w:t xml:space="preserve"> “We are very excited to join into this a</w:t>
      </w:r>
      <w:r w:rsidR="001E5F32">
        <w:rPr>
          <w:rFonts w:ascii="Tw Cen MT" w:hAnsi="Tw Cen MT"/>
          <w:sz w:val="24"/>
          <w:szCs w:val="24"/>
          <w:lang w:val="en"/>
        </w:rPr>
        <w:t>greement</w:t>
      </w:r>
      <w:r w:rsidRPr="260ACD24">
        <w:rPr>
          <w:rFonts w:ascii="Tw Cen MT" w:hAnsi="Tw Cen MT"/>
          <w:sz w:val="24"/>
          <w:szCs w:val="24"/>
          <w:lang w:val="en"/>
        </w:rPr>
        <w:t xml:space="preserve"> with St. Vincent.  We have built a strong relationship with St. Vincent over the past 25 years with the Cardiology and Urology Services of Dr. Behrens and Dr. Gilson.  It was a natural fit to partner and we couldn’t be happier to continue to strengthen that relationship and improve healthcare in the community.”</w:t>
      </w:r>
    </w:p>
    <w:p w14:paraId="3CB4ADCD" w14:textId="2C43A6D1" w:rsidR="260ACD24" w:rsidRDefault="260ACD24" w:rsidP="260ACD24">
      <w:pPr>
        <w:spacing w:before="40" w:line="360" w:lineRule="auto"/>
        <w:jc w:val="left"/>
        <w:rPr>
          <w:rFonts w:ascii="Tw Cen MT" w:hAnsi="Tw Cen MT"/>
          <w:sz w:val="24"/>
          <w:szCs w:val="24"/>
          <w:lang w:val="en"/>
        </w:rPr>
      </w:pPr>
    </w:p>
    <w:p w14:paraId="0B02C59D" w14:textId="37607581" w:rsidR="260ACD24" w:rsidRDefault="260ACD24" w:rsidP="260ACD24">
      <w:pPr>
        <w:spacing w:before="40" w:line="360" w:lineRule="auto"/>
        <w:jc w:val="center"/>
        <w:rPr>
          <w:rFonts w:ascii="Tw Cen MT" w:hAnsi="Tw Cen MT"/>
          <w:sz w:val="24"/>
          <w:szCs w:val="24"/>
          <w:lang w:val="en"/>
        </w:rPr>
      </w:pPr>
      <w:r w:rsidRPr="260ACD24">
        <w:rPr>
          <w:rFonts w:ascii="Tw Cen MT" w:hAnsi="Tw Cen MT"/>
          <w:sz w:val="24"/>
          <w:szCs w:val="24"/>
          <w:lang w:val="en"/>
        </w:rPr>
        <w:t>###</w:t>
      </w:r>
    </w:p>
    <w:sectPr w:rsidR="260ACD24" w:rsidSect="00EA4978">
      <w:headerReference w:type="even" r:id="rId8"/>
      <w:headerReference w:type="default" r:id="rId9"/>
      <w:footerReference w:type="default" r:id="rId10"/>
      <w:headerReference w:type="first" r:id="rId11"/>
      <w:pgSz w:w="12240" w:h="15840" w:code="1"/>
      <w:pgMar w:top="1440" w:right="1800" w:bottom="1440" w:left="1800" w:header="965" w:footer="96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FBF3C" w14:textId="77777777" w:rsidR="00483818" w:rsidRDefault="00483818">
      <w:r>
        <w:separator/>
      </w:r>
    </w:p>
  </w:endnote>
  <w:endnote w:type="continuationSeparator" w:id="0">
    <w:p w14:paraId="41A85515" w14:textId="77777777" w:rsidR="00483818" w:rsidRDefault="0048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4D5A5" w14:textId="77777777" w:rsidR="00F7476E" w:rsidRDefault="00F7476E">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17AA7" w14:textId="77777777" w:rsidR="00483818" w:rsidRDefault="00483818">
      <w:r>
        <w:separator/>
      </w:r>
    </w:p>
  </w:footnote>
  <w:footnote w:type="continuationSeparator" w:id="0">
    <w:p w14:paraId="05821260" w14:textId="77777777" w:rsidR="00483818" w:rsidRDefault="0048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4BA1D" w14:textId="77777777" w:rsidR="00F7476E" w:rsidRDefault="00F747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C8F396" w14:textId="77777777" w:rsidR="00F7476E" w:rsidRDefault="00F7476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EC669" w14:textId="77777777" w:rsidR="00F7476E" w:rsidRDefault="00F7476E">
    <w:pPr>
      <w:pStyle w:val="Header"/>
      <w:framePr w:wrap="around" w:vAnchor="text" w:hAnchor="margin" w:xAlign="right" w:y="1"/>
      <w:rPr>
        <w:rStyle w:val="PageNumber"/>
      </w:rPr>
    </w:pPr>
  </w:p>
  <w:p w14:paraId="3656B9AB" w14:textId="77777777" w:rsidR="00F7476E" w:rsidRDefault="00F7476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7B00A" w14:textId="77777777" w:rsidR="00F7476E" w:rsidRDefault="00F7476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6132A"/>
    <w:multiLevelType w:val="hybridMultilevel"/>
    <w:tmpl w:val="E508F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en-US"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2B"/>
    <w:rsid w:val="0000053E"/>
    <w:rsid w:val="00007DB7"/>
    <w:rsid w:val="00007E04"/>
    <w:rsid w:val="00045F88"/>
    <w:rsid w:val="0008585F"/>
    <w:rsid w:val="0008726A"/>
    <w:rsid w:val="000A5E53"/>
    <w:rsid w:val="000C589E"/>
    <w:rsid w:val="000F7C20"/>
    <w:rsid w:val="00113C76"/>
    <w:rsid w:val="0015393F"/>
    <w:rsid w:val="001614FE"/>
    <w:rsid w:val="00187C05"/>
    <w:rsid w:val="00192561"/>
    <w:rsid w:val="001A4FA5"/>
    <w:rsid w:val="001A6139"/>
    <w:rsid w:val="001B22BF"/>
    <w:rsid w:val="001B48E1"/>
    <w:rsid w:val="001E5F32"/>
    <w:rsid w:val="00215F55"/>
    <w:rsid w:val="00221D6B"/>
    <w:rsid w:val="0022260C"/>
    <w:rsid w:val="002B5900"/>
    <w:rsid w:val="002E04BE"/>
    <w:rsid w:val="002E4C01"/>
    <w:rsid w:val="003217C5"/>
    <w:rsid w:val="003A3DE9"/>
    <w:rsid w:val="003A3DFE"/>
    <w:rsid w:val="003A49AF"/>
    <w:rsid w:val="003F6C44"/>
    <w:rsid w:val="00400BA2"/>
    <w:rsid w:val="004336B2"/>
    <w:rsid w:val="00454163"/>
    <w:rsid w:val="00483818"/>
    <w:rsid w:val="004905B0"/>
    <w:rsid w:val="004C425D"/>
    <w:rsid w:val="004D47BB"/>
    <w:rsid w:val="005315B3"/>
    <w:rsid w:val="005352E1"/>
    <w:rsid w:val="00571F31"/>
    <w:rsid w:val="00581067"/>
    <w:rsid w:val="005C7DBE"/>
    <w:rsid w:val="005D18F0"/>
    <w:rsid w:val="00643918"/>
    <w:rsid w:val="006459B0"/>
    <w:rsid w:val="00647A56"/>
    <w:rsid w:val="006827E0"/>
    <w:rsid w:val="0069185F"/>
    <w:rsid w:val="006A2246"/>
    <w:rsid w:val="006A5C19"/>
    <w:rsid w:val="006F4C89"/>
    <w:rsid w:val="006F7708"/>
    <w:rsid w:val="00722AF7"/>
    <w:rsid w:val="00750253"/>
    <w:rsid w:val="00766C39"/>
    <w:rsid w:val="00771F06"/>
    <w:rsid w:val="0077602E"/>
    <w:rsid w:val="0078778B"/>
    <w:rsid w:val="007B6BFA"/>
    <w:rsid w:val="007D3E3C"/>
    <w:rsid w:val="007E4EB4"/>
    <w:rsid w:val="00851DF7"/>
    <w:rsid w:val="00862A68"/>
    <w:rsid w:val="008A3925"/>
    <w:rsid w:val="008C5F00"/>
    <w:rsid w:val="008E5423"/>
    <w:rsid w:val="009337A6"/>
    <w:rsid w:val="009C0A05"/>
    <w:rsid w:val="009C72F3"/>
    <w:rsid w:val="009F6A7A"/>
    <w:rsid w:val="00A46BFB"/>
    <w:rsid w:val="00A51179"/>
    <w:rsid w:val="00A63686"/>
    <w:rsid w:val="00A63A25"/>
    <w:rsid w:val="00A83523"/>
    <w:rsid w:val="00A96B8C"/>
    <w:rsid w:val="00A978F1"/>
    <w:rsid w:val="00B44AFE"/>
    <w:rsid w:val="00B81AC5"/>
    <w:rsid w:val="00B82876"/>
    <w:rsid w:val="00B87961"/>
    <w:rsid w:val="00BD0C3E"/>
    <w:rsid w:val="00BD37D6"/>
    <w:rsid w:val="00BE22C1"/>
    <w:rsid w:val="00BE670A"/>
    <w:rsid w:val="00C20AB9"/>
    <w:rsid w:val="00C312A0"/>
    <w:rsid w:val="00CD0E3F"/>
    <w:rsid w:val="00CE0790"/>
    <w:rsid w:val="00CF1FA2"/>
    <w:rsid w:val="00CF7948"/>
    <w:rsid w:val="00D17B98"/>
    <w:rsid w:val="00D4547A"/>
    <w:rsid w:val="00D504B2"/>
    <w:rsid w:val="00D7265D"/>
    <w:rsid w:val="00DA762B"/>
    <w:rsid w:val="00DC2583"/>
    <w:rsid w:val="00DD05F5"/>
    <w:rsid w:val="00DE341B"/>
    <w:rsid w:val="00DF52DD"/>
    <w:rsid w:val="00DF55D0"/>
    <w:rsid w:val="00E0740D"/>
    <w:rsid w:val="00E07932"/>
    <w:rsid w:val="00E44E8D"/>
    <w:rsid w:val="00E93BFF"/>
    <w:rsid w:val="00EA3073"/>
    <w:rsid w:val="00EA4978"/>
    <w:rsid w:val="00EB20BC"/>
    <w:rsid w:val="00EB5C88"/>
    <w:rsid w:val="00EF38A1"/>
    <w:rsid w:val="00F21940"/>
    <w:rsid w:val="00F4149C"/>
    <w:rsid w:val="00F41718"/>
    <w:rsid w:val="00F547FA"/>
    <w:rsid w:val="00F55E7C"/>
    <w:rsid w:val="00F71A23"/>
    <w:rsid w:val="00F7476E"/>
    <w:rsid w:val="00FD353E"/>
    <w:rsid w:val="00FD3DAA"/>
    <w:rsid w:val="07A6E753"/>
    <w:rsid w:val="19897F79"/>
    <w:rsid w:val="1D484358"/>
    <w:rsid w:val="260ACD24"/>
    <w:rsid w:val="2E130D2B"/>
    <w:rsid w:val="3C604F48"/>
    <w:rsid w:val="629BE8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BE86D"/>
  <w15:docId w15:val="{C99B7105-7384-40F4-AE17-697B9208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53E"/>
    <w:pPr>
      <w:jc w:val="both"/>
    </w:pPr>
    <w:rPr>
      <w:rFonts w:ascii="Garamond" w:hAnsi="Garamond"/>
      <w:kern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next w:val="Date"/>
    <w:rsid w:val="00FD353E"/>
    <w:pPr>
      <w:keepLines/>
      <w:framePr w:w="8640" w:h="1440" w:wrap="notBeside" w:vAnchor="page" w:hAnchor="margin" w:xAlign="center" w:y="889"/>
      <w:spacing w:after="40" w:line="240" w:lineRule="atLeast"/>
      <w:jc w:val="center"/>
    </w:pPr>
    <w:rPr>
      <w:caps/>
      <w:spacing w:val="75"/>
      <w:sz w:val="21"/>
    </w:rPr>
  </w:style>
  <w:style w:type="paragraph" w:customStyle="1" w:styleId="InsideAddress">
    <w:name w:val="Inside Address"/>
    <w:basedOn w:val="Normal"/>
    <w:rsid w:val="00FD353E"/>
    <w:pPr>
      <w:spacing w:line="240" w:lineRule="atLeast"/>
    </w:pPr>
  </w:style>
  <w:style w:type="paragraph" w:customStyle="1" w:styleId="ReturnAddress">
    <w:name w:val="Return Address"/>
    <w:rsid w:val="00FD353E"/>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lang w:eastAsia="en-US"/>
    </w:rPr>
  </w:style>
  <w:style w:type="paragraph" w:styleId="Header">
    <w:name w:val="header"/>
    <w:basedOn w:val="Normal"/>
    <w:rsid w:val="00FD353E"/>
    <w:pPr>
      <w:tabs>
        <w:tab w:val="center" w:pos="4320"/>
        <w:tab w:val="right" w:pos="8640"/>
      </w:tabs>
    </w:pPr>
  </w:style>
  <w:style w:type="character" w:styleId="PageNumber">
    <w:name w:val="page number"/>
    <w:basedOn w:val="DefaultParagraphFont"/>
    <w:rsid w:val="00FD353E"/>
  </w:style>
  <w:style w:type="paragraph" w:styleId="BodyText">
    <w:name w:val="Body Text"/>
    <w:basedOn w:val="Normal"/>
    <w:rsid w:val="00FD353E"/>
    <w:pPr>
      <w:spacing w:after="120"/>
    </w:pPr>
  </w:style>
  <w:style w:type="paragraph" w:styleId="Date">
    <w:name w:val="Date"/>
    <w:basedOn w:val="Normal"/>
    <w:next w:val="Normal"/>
    <w:rsid w:val="00FD353E"/>
  </w:style>
  <w:style w:type="character" w:styleId="Strong">
    <w:name w:val="Strong"/>
    <w:qFormat/>
    <w:rsid w:val="00643918"/>
    <w:rPr>
      <w:b/>
      <w:bCs/>
    </w:rPr>
  </w:style>
  <w:style w:type="paragraph" w:styleId="Title">
    <w:name w:val="Title"/>
    <w:basedOn w:val="Normal"/>
    <w:qFormat/>
    <w:rsid w:val="001A6139"/>
    <w:pPr>
      <w:jc w:val="center"/>
    </w:pPr>
    <w:rPr>
      <w:rFonts w:ascii="Times New Roman" w:hAnsi="Times New Roman"/>
      <w:b/>
      <w:bCs/>
      <w:kern w:val="0"/>
      <w:sz w:val="24"/>
    </w:rPr>
  </w:style>
  <w:style w:type="character" w:styleId="Hyperlink">
    <w:name w:val="Hyperlink"/>
    <w:rsid w:val="001A6139"/>
    <w:rPr>
      <w:color w:val="0000FF"/>
      <w:u w:val="single"/>
    </w:rPr>
  </w:style>
  <w:style w:type="paragraph" w:customStyle="1" w:styleId="NormalWeb2">
    <w:name w:val="Normal (Web)2"/>
    <w:basedOn w:val="Normal"/>
    <w:rsid w:val="001A6139"/>
    <w:pPr>
      <w:spacing w:after="120" w:line="420" w:lineRule="auto"/>
      <w:jc w:val="left"/>
    </w:pPr>
    <w:rPr>
      <w:rFonts w:ascii="Arial" w:hAnsi="Arial" w:cs="Arial"/>
      <w:kern w:val="0"/>
      <w:sz w:val="18"/>
      <w:szCs w:val="18"/>
    </w:rPr>
  </w:style>
  <w:style w:type="paragraph" w:styleId="NormalWeb">
    <w:name w:val="Normal (Web)"/>
    <w:basedOn w:val="Normal"/>
    <w:rsid w:val="001A6139"/>
    <w:pPr>
      <w:spacing w:before="100" w:beforeAutospacing="1" w:after="100" w:afterAutospacing="1"/>
      <w:jc w:val="left"/>
    </w:pPr>
    <w:rPr>
      <w:rFonts w:ascii="Times New Roman" w:hAnsi="Times New Roman"/>
      <w:kern w:val="0"/>
      <w:sz w:val="24"/>
      <w:szCs w:val="24"/>
    </w:rPr>
  </w:style>
  <w:style w:type="paragraph" w:styleId="Footer">
    <w:name w:val="footer"/>
    <w:basedOn w:val="Normal"/>
    <w:rsid w:val="00F547FA"/>
    <w:pPr>
      <w:tabs>
        <w:tab w:val="center" w:pos="4320"/>
        <w:tab w:val="right" w:pos="8640"/>
      </w:tabs>
    </w:pPr>
  </w:style>
  <w:style w:type="paragraph" w:styleId="BalloonText">
    <w:name w:val="Balloon Text"/>
    <w:basedOn w:val="Normal"/>
    <w:semiHidden/>
    <w:rsid w:val="00221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41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2461</Characters>
  <Application>Microsoft Office Word</Application>
  <DocSecurity>0</DocSecurity>
  <Lines>20</Lines>
  <Paragraphs>5</Paragraphs>
  <ScaleCrop>false</ScaleCrop>
  <Company>Trilogy Health Serives, LLS</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pcaldwell</dc:creator>
  <cp:keywords/>
  <dc:description/>
  <cp:lastModifiedBy>Lacey Tenen</cp:lastModifiedBy>
  <cp:revision>2</cp:revision>
  <cp:lastPrinted>2008-04-29T17:44:00Z</cp:lastPrinted>
  <dcterms:created xsi:type="dcterms:W3CDTF">2020-10-20T17:20:00Z</dcterms:created>
  <dcterms:modified xsi:type="dcterms:W3CDTF">2020-10-20T17:20:00Z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-806933745</vt:i4>
  </property>
  <property fmtid="{D5CDD505-2E9C-101B-9397-08002B2CF9AE}" pid="3" name="_ReviewCycleID">
    <vt:i4>-806933745</vt:i4>
  </property>
  <property fmtid="{D5CDD505-2E9C-101B-9397-08002B2CF9AE}" pid="4" name="_NewReviewCycle">
    <vt:lpwstr/>
  </property>
  <property fmtid="{D5CDD505-2E9C-101B-9397-08002B2CF9AE}" pid="5" name="_EmailEntryID">
    <vt:lpwstr>000000007D0FC08EBEF3CC4C8DE5FB9E9EAFED970700FA94DE4AACBC5448BB2CEBF2C4AB6F9C0000005C6CE20000D75462B1049B9544A236234642891280000000387A210000</vt:lpwstr>
  </property>
  <property fmtid="{D5CDD505-2E9C-101B-9397-08002B2CF9AE}" pid="6" name="_ReviewingToolsShownOnce">
    <vt:lpwstr/>
  </property>
</Properties>
</file>